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Detail Content :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Opening System : Refill the e-liquid from the </w:t>
      </w:r>
      <w:r>
        <w:rPr>
          <w:rFonts w:hint="eastAsia" w:ascii="Arial" w:hAnsi="Arial" w:cs="Arial"/>
          <w:bCs/>
          <w:szCs w:val="21"/>
          <w:lang w:val="en-US" w:eastAsia="zh-CN"/>
        </w:rPr>
        <w:t xml:space="preserve">side </w:t>
      </w:r>
      <w:r>
        <w:rPr>
          <w:rFonts w:hint="eastAsia" w:ascii="Arial" w:hAnsi="Arial" w:cs="Arial"/>
          <w:bCs/>
          <w:szCs w:val="21"/>
        </w:rPr>
        <w:t>of the atomizer(the top cap with atomizer head)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Operation instructions: Screw off the top cap , then </w:t>
      </w:r>
      <w:r>
        <w:rPr>
          <w:rFonts w:ascii="Arial" w:hAnsi="Arial" w:cs="Arial"/>
          <w:bCs/>
          <w:szCs w:val="21"/>
        </w:rPr>
        <w:t>inject</w:t>
      </w:r>
      <w:r>
        <w:rPr>
          <w:rFonts w:hint="eastAsia" w:ascii="Arial" w:hAnsi="Arial" w:cs="Arial"/>
          <w:bCs/>
          <w:szCs w:val="21"/>
        </w:rPr>
        <w:t xml:space="preserve"> the liquid directly into the cambered slot which is </w:t>
      </w:r>
      <w:r>
        <w:rPr>
          <w:rFonts w:hint="eastAsia" w:ascii="Arial" w:hAnsi="Arial" w:cs="Arial"/>
          <w:bCs/>
          <w:szCs w:val="21"/>
          <w:lang w:val="en-US" w:eastAsia="zh-CN"/>
        </w:rPr>
        <w:t>6.5</w:t>
      </w:r>
      <w:bookmarkStart w:id="0" w:name="_GoBack"/>
      <w:bookmarkEnd w:id="0"/>
      <w:r>
        <w:rPr>
          <w:rFonts w:hint="eastAsia" w:ascii="Arial" w:hAnsi="Arial" w:cs="Arial"/>
          <w:bCs/>
          <w:color w:val="FF0000"/>
          <w:szCs w:val="21"/>
        </w:rPr>
        <w:t xml:space="preserve"> ml</w:t>
      </w:r>
      <w:r>
        <w:rPr>
          <w:rFonts w:hint="eastAsia" w:ascii="Arial" w:hAnsi="Arial" w:cs="Arial"/>
          <w:bCs/>
          <w:szCs w:val="21"/>
        </w:rPr>
        <w:t xml:space="preserve"> e-liquid capacity.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Note: </w:t>
      </w:r>
      <w:r>
        <w:rPr>
          <w:rFonts w:hint="eastAsia" w:ascii="Arial" w:hAnsi="Arial" w:cs="Arial"/>
          <w:bCs/>
          <w:color w:val="FF0000"/>
          <w:szCs w:val="21"/>
        </w:rPr>
        <w:t>Please don</w:t>
      </w:r>
      <w:r>
        <w:rPr>
          <w:rFonts w:ascii="Arial" w:hAnsi="Arial" w:cs="Arial"/>
          <w:bCs/>
          <w:color w:val="FF0000"/>
          <w:szCs w:val="21"/>
        </w:rPr>
        <w:t>’</w:t>
      </w:r>
      <w:r>
        <w:rPr>
          <w:rFonts w:hint="eastAsia" w:ascii="Arial" w:hAnsi="Arial" w:cs="Arial"/>
          <w:bCs/>
          <w:color w:val="FF0000"/>
          <w:szCs w:val="21"/>
        </w:rPr>
        <w:t>t overfill when reassemble.</w:t>
      </w: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Filling Structure</w:t>
      </w:r>
    </w:p>
    <w:p>
      <w:pPr>
        <w:pStyle w:val="14"/>
        <w:numPr>
          <w:ilvl w:val="0"/>
          <w:numId w:val="0"/>
        </w:numPr>
        <w:tabs>
          <w:tab w:val="left" w:pos="207"/>
        </w:tabs>
        <w:spacing w:line="400" w:lineRule="exact"/>
        <w:ind w:left="360" w:leftChars="0" w:right="105" w:rightChars="50"/>
        <w:rPr>
          <w:rFonts w:ascii="Arial" w:hAnsi="Arial" w:cs="Arial"/>
          <w:bCs/>
          <w:szCs w:val="21"/>
        </w:rPr>
      </w:pPr>
      <w: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375285</wp:posOffset>
            </wp:positionH>
            <wp:positionV relativeFrom="paragraph">
              <wp:posOffset>212090</wp:posOffset>
            </wp:positionV>
            <wp:extent cx="3814445" cy="2063115"/>
            <wp:effectExtent l="0" t="0" r="14605" b="13335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14445" cy="20631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tabs>
          <w:tab w:val="left" w:pos="207"/>
        </w:tabs>
        <w:spacing w:line="400" w:lineRule="exact"/>
        <w:ind w:right="105"/>
        <w:rPr>
          <w:rFonts w:ascii="Arial" w:hAnsi="Arial" w:cs="Arial"/>
          <w:bCs/>
          <w:szCs w:val="21"/>
        </w:rPr>
      </w:pPr>
    </w:p>
    <w:p>
      <w:pPr>
        <w:pStyle w:val="14"/>
        <w:numPr>
          <w:ilvl w:val="0"/>
          <w:numId w:val="2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 xml:space="preserve">Application of Product: </w:t>
      </w:r>
      <w:r>
        <w:rPr>
          <w:rFonts w:hint="eastAsia" w:ascii="Arial" w:hAnsi="Arial" w:cs="Arial"/>
          <w:bCs/>
          <w:szCs w:val="21"/>
          <w:lang w:val="en-US" w:eastAsia="zh-CN"/>
        </w:rPr>
        <w:t>COMBO RDTA (RTA deck IMC2)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I-T-1016-01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2369E6"/>
    <w:multiLevelType w:val="multilevel"/>
    <w:tmpl w:val="512369E6"/>
    <w:lvl w:ilvl="0" w:tentative="0">
      <w:start w:val="1"/>
      <w:numFmt w:val="lowerLetter"/>
      <w:lvlText w:val="%1)"/>
      <w:lvlJc w:val="left"/>
      <w:pPr>
        <w:ind w:left="780" w:hanging="420"/>
      </w:p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089D0A94"/>
    <w:rsid w:val="0C2A7A7E"/>
    <w:rsid w:val="14EA73F1"/>
    <w:rsid w:val="22E22B2E"/>
    <w:rsid w:val="2444001B"/>
    <w:rsid w:val="342967C6"/>
    <w:rsid w:val="40841A83"/>
    <w:rsid w:val="44EE36E3"/>
    <w:rsid w:val="473A3D4D"/>
    <w:rsid w:val="5CCB4B2F"/>
    <w:rsid w:val="5DEC048A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2016-11-11T08:09:44Z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